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sz w:val="44"/>
        </w:rPr>
      </w:pPr>
      <w:r>
        <mc:AlternateContent>
          <mc:Choice Requires="wpg">
            <w:drawing>
              <wp:anchor distT="0" distB="0" distL="114300" distR="114300" simplePos="0" relativeHeight="251658240" behindDoc="0" locked="0" layoutInCell="1" allowOverlap="1">
                <wp:simplePos x="0" y="0"/>
                <wp:positionH relativeFrom="column">
                  <wp:posOffset>0</wp:posOffset>
                </wp:positionH>
                <wp:positionV relativeFrom="paragraph">
                  <wp:posOffset>297180</wp:posOffset>
                </wp:positionV>
                <wp:extent cx="5995670" cy="2278380"/>
                <wp:effectExtent l="0" t="0" r="0" b="0"/>
                <wp:wrapNone/>
                <wp:docPr id="3" name="组合 3"/>
                <wp:cNvGraphicFramePr/>
                <a:graphic xmlns:a="http://schemas.openxmlformats.org/drawingml/2006/main">
                  <a:graphicData uri="http://schemas.microsoft.com/office/word/2010/wordprocessingGroup">
                    <wpg:wgp>
                      <wpg:cNvGrpSpPr/>
                      <wpg:grpSpPr>
                        <a:xfrm>
                          <a:off x="0" y="0"/>
                          <a:ext cx="5995670" cy="2278380"/>
                          <a:chOff x="1418" y="1908"/>
                          <a:chExt cx="9442" cy="3588"/>
                        </a:xfrm>
                      </wpg:grpSpPr>
                      <wps:wsp>
                        <wps:cNvPr id="1" name="文本框 1"/>
                        <wps:cNvSpPr txBox="1"/>
                        <wps:spPr>
                          <a:xfrm>
                            <a:off x="1418" y="1908"/>
                            <a:ext cx="9442" cy="1054"/>
                          </a:xfrm>
                          <a:prstGeom prst="rect">
                            <a:avLst/>
                          </a:prstGeom>
                          <a:noFill/>
                          <a:ln>
                            <a:noFill/>
                          </a:ln>
                        </wps:spPr>
                        <wps:txbx>
                          <w:txbxContent>
                            <w:p>
                              <w:pPr>
                                <w:jc w:val="center"/>
                                <w:rPr>
                                  <w:rFonts w:ascii="宋体" w:hAnsi="宋体"/>
                                  <w:b/>
                                  <w:color w:val="FF0000"/>
                                  <w:w w:val="80"/>
                                  <w:sz w:val="84"/>
                                </w:rPr>
                              </w:pPr>
                              <w:r>
                                <w:rPr>
                                  <w:rFonts w:hint="eastAsia" w:ascii="宋体" w:hAnsi="宋体"/>
                                  <w:b/>
                                  <w:color w:val="FF0000"/>
                                  <w:w w:val="80"/>
                                  <w:sz w:val="84"/>
                                </w:rPr>
                                <w:t>湖南财政经济学院文件　</w:t>
                              </w:r>
                            </w:p>
                          </w:txbxContent>
                        </wps:txbx>
                        <wps:bodyPr lIns="90043" tIns="0" rIns="90043" bIns="0" upright="1"/>
                      </wps:wsp>
                      <wps:wsp>
                        <wps:cNvPr id="2" name="直接连接符 2"/>
                        <wps:cNvCnPr/>
                        <wps:spPr>
                          <a:xfrm>
                            <a:off x="1418" y="5496"/>
                            <a:ext cx="9071" cy="0"/>
                          </a:xfrm>
                          <a:prstGeom prst="line">
                            <a:avLst/>
                          </a:prstGeom>
                          <a:ln w="28575" cap="flat" cmpd="sng">
                            <a:solidFill>
                              <a:srgbClr val="FF0000"/>
                            </a:solidFill>
                            <a:prstDash val="solid"/>
                            <a:headEnd type="none" w="med" len="med"/>
                            <a:tailEnd type="none" w="med" len="med"/>
                          </a:ln>
                        </wps:spPr>
                        <wps:bodyPr upright="1"/>
                      </wps:wsp>
                    </wpg:wgp>
                  </a:graphicData>
                </a:graphic>
              </wp:anchor>
            </w:drawing>
          </mc:Choice>
          <mc:Fallback>
            <w:pict>
              <v:group id="_x0000_s1026" o:spid="_x0000_s1026" o:spt="203" style="position:absolute;left:0pt;margin-left:0pt;margin-top:23.4pt;height:179.4pt;width:472.1pt;z-index:251658240;mso-width-relative:page;mso-height-relative:page;" coordorigin="1418,1908" coordsize="9442,3588" o:gfxdata="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">
                <o:lock v:ext="edit" aspectratio="f"/>
                <v:shape id="_x0000_s1026" o:spid="_x0000_s1026" o:spt="202" type="#_x0000_t202" style="position:absolute;left:1418;top:1908;height:1054;width:9442;" filled="f" stroked="f" coordsize="21600,21600" o:gfxdata="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Lnh5twAAANoAAAAP&#10;AAAAAAAAAAEAIAAAACIAAABkcnMvZG93bnJldi54bWxQSwECFAAUAAAACACHTuJAMy8FnjsAAAA5&#10;AAAAEAAAAAAAAAABACAAAAAGAQAAZHJzL3NoYXBleG1sLnhtbFBLBQYAAAAABgAGAFsBAACwAwAA&#10;AAA=&#10;">
                  <v:fill on="f" focussize="0,0"/>
                  <v:stroke on="f"/>
                  <v:imagedata o:title=""/>
                  <o:lock v:ext="edit" aspectratio="f"/>
                  <v:textbox inset="7.09pt,0mm,7.09pt,0mm">
                    <w:txbxContent>
                      <w:p>
                        <w:pPr>
                          <w:jc w:val="center"/>
                          <w:rPr>
                            <w:rFonts w:ascii="宋体" w:hAnsi="宋体"/>
                            <w:b/>
                            <w:color w:val="FF0000"/>
                            <w:w w:val="80"/>
                            <w:sz w:val="84"/>
                          </w:rPr>
                        </w:pPr>
                        <w:r>
                          <w:rPr>
                            <w:rFonts w:hint="eastAsia" w:ascii="宋体" w:hAnsi="宋体"/>
                            <w:b/>
                            <w:color w:val="FF0000"/>
                            <w:w w:val="80"/>
                            <w:sz w:val="84"/>
                          </w:rPr>
                          <w:t>湖南财政经济学院文件　</w:t>
                        </w:r>
                      </w:p>
                    </w:txbxContent>
                  </v:textbox>
                </v:shape>
                <v:line id="_x0000_s1026" o:spid="_x0000_s1026" o:spt="20" style="position:absolute;left:1418;top:5496;height:0;width:9071;" filled="f" stroked="t" coordsize="21600,21600" o:gfxdata="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ravMvQAA&#10;ANoAAAAPAAAAAAAAAAEAIAAAACIAAABkcnMvZG93bnJldi54bWxQSwECFAAUAAAACACHTuJAMy8F&#10;njsAAAA5AAAAEAAAAAAAAAABACAAAAAMAQAAZHJzL3NoYXBleG1sLnhtbFBLBQYAAAAABgAGAFsB&#10;AAC2AwAAAAA=&#10;">
                  <v:fill on="f" focussize="0,0"/>
                  <v:stroke weight="2.25pt" color="#FF0000" joinstyle="round"/>
                  <v:imagedata o:title=""/>
                  <o:lock v:ext="edit" aspectratio="f"/>
                </v:line>
              </v:group>
            </w:pict>
          </mc:Fallback>
        </mc:AlternateContent>
      </w:r>
      <w:r>
        <w:fldChar w:fldCharType="begin"/>
      </w:r>
      <w:r>
        <w:instrText xml:space="preserve"> INCLUDETEXT "e:\\lotus\\notes\\data\\院发文件格式.doc" </w:instrText>
      </w:r>
      <w:r>
        <w:fldChar w:fldCharType="separate"/>
      </w:r>
    </w:p>
    <w:p>
      <w:pPr>
        <w:rPr>
          <w:rFonts w:hint="eastAsia" w:ascii="宋体" w:hAnsi="宋体"/>
          <w:sz w:val="44"/>
        </w:rPr>
      </w:pPr>
    </w:p>
    <w:p>
      <w:pPr>
        <w:rPr>
          <w:rFonts w:hint="eastAsia" w:ascii="宋体" w:hAnsi="宋体"/>
          <w:sz w:val="44"/>
        </w:rPr>
      </w:pPr>
    </w:p>
    <w:p>
      <w:pPr>
        <w:rPr>
          <w:rFonts w:hint="eastAsia" w:ascii="仿宋_GB2312" w:eastAsia="仿宋_GB2312"/>
          <w:color w:val="000000"/>
          <w:sz w:val="32"/>
          <w:szCs w:val="32"/>
        </w:rPr>
      </w:pPr>
    </w:p>
    <w:p>
      <w:pPr>
        <w:rPr>
          <w:rFonts w:hint="eastAsia" w:ascii="仿宋_GB2312" w:eastAsia="仿宋_GB2312"/>
          <w:color w:val="000000"/>
          <w:sz w:val="32"/>
          <w:szCs w:val="32"/>
        </w:rPr>
      </w:pPr>
    </w:p>
    <w:p>
      <w:pPr>
        <w:jc w:val="center"/>
        <w:rPr>
          <w:rFonts w:hint="eastAsia" w:ascii="仿宋_GB2312" w:eastAsia="仿宋_GB2312"/>
          <w:color w:val="000000"/>
          <w:sz w:val="32"/>
          <w:szCs w:val="32"/>
        </w:rPr>
      </w:pPr>
      <w:bookmarkStart w:id="0" w:name="wh"/>
      <w:r>
        <w:rPr>
          <w:rFonts w:hint="eastAsia" w:ascii="仿宋_GB2312" w:eastAsia="仿宋_GB2312"/>
          <w:color w:val="000000"/>
          <w:sz w:val="32"/>
          <w:szCs w:val="32"/>
        </w:rPr>
        <w:t>湘财院校发〔202</w:t>
      </w: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〕20号</w:t>
      </w:r>
      <w:bookmarkEnd w:id="0"/>
    </w:p>
    <w:p>
      <w:pPr>
        <w:rPr>
          <w:rFonts w:hint="eastAsia" w:ascii="宋体" w:hAnsi="宋体"/>
          <w:sz w:val="44"/>
        </w:rPr>
      </w:pPr>
    </w:p>
    <w:p>
      <w:r>
        <w:fldChar w:fldCharType="end"/>
      </w:r>
    </w:p>
    <w:p>
      <w:pPr>
        <w:spacing w:line="540" w:lineRule="exact"/>
        <w:jc w:val="center"/>
        <w:rPr>
          <w:sz w:val="44"/>
          <w:szCs w:val="44"/>
        </w:rPr>
      </w:pPr>
      <w:r>
        <w:rPr>
          <w:rFonts w:hint="eastAsia"/>
          <w:sz w:val="44"/>
          <w:szCs w:val="44"/>
        </w:rPr>
        <w:t>湖南财政经济学院课表编排管理</w:t>
      </w:r>
    </w:p>
    <w:p>
      <w:pPr>
        <w:spacing w:line="540" w:lineRule="exact"/>
        <w:jc w:val="center"/>
        <w:rPr>
          <w:sz w:val="44"/>
          <w:szCs w:val="44"/>
        </w:rPr>
      </w:pPr>
      <w:r>
        <w:rPr>
          <w:rFonts w:hint="eastAsia"/>
          <w:sz w:val="44"/>
          <w:szCs w:val="44"/>
        </w:rPr>
        <w:t>暂行</w:t>
      </w:r>
      <w:bookmarkStart w:id="1" w:name="qihoosnap2"/>
      <w:bookmarkEnd w:id="1"/>
      <w:r>
        <w:rPr>
          <w:rFonts w:hint="eastAsia"/>
          <w:sz w:val="44"/>
          <w:szCs w:val="44"/>
        </w:rPr>
        <w:t>规定</w:t>
      </w:r>
    </w:p>
    <w:p>
      <w:pPr>
        <w:spacing w:line="540" w:lineRule="exact"/>
        <w:jc w:val="center"/>
        <w:rPr>
          <w:rFonts w:ascii="楷体" w:hAnsi="楷体" w:eastAsia="楷体" w:cs="楷体"/>
          <w:sz w:val="28"/>
          <w:szCs w:val="28"/>
        </w:rPr>
      </w:pPr>
    </w:p>
    <w:p>
      <w:pPr>
        <w:spacing w:line="540" w:lineRule="exact"/>
        <w:ind w:firstLine="560" w:firstLineChars="200"/>
        <w:rPr>
          <w:color w:val="000000"/>
          <w:sz w:val="28"/>
          <w:szCs w:val="28"/>
        </w:rPr>
      </w:pP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课表编排是教学运</w:t>
      </w:r>
      <w:bookmarkStart w:id="2" w:name="qihoosnap1"/>
      <w:bookmarkEnd w:id="2"/>
      <w:r>
        <w:rPr>
          <w:rFonts w:hint="eastAsia" w:ascii="仿宋_GB2312" w:hAnsi="仿宋_GB2312" w:eastAsia="仿宋_GB2312" w:cs="仿宋_GB2312"/>
          <w:color w:val="000000"/>
          <w:sz w:val="32"/>
          <w:szCs w:val="32"/>
        </w:rPr>
        <w:t>行管理的中心环节，是各专业培养方案在各项教学活动中合理组织、调度和执行的必要保证，为充分利用教学资源，坚持以质量为中心，保障课表编排的科学性、合理性和可行性，特制定本规定。</w:t>
      </w:r>
    </w:p>
    <w:p>
      <w:pPr>
        <w:spacing w:line="60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一、课表编排原则</w:t>
      </w:r>
    </w:p>
    <w:p>
      <w:pPr>
        <w:spacing w:line="600" w:lineRule="exact"/>
        <w:ind w:firstLine="643" w:firstLineChars="200"/>
        <w:rPr>
          <w:rFonts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（一）一致性原则。</w:t>
      </w:r>
      <w:r>
        <w:rPr>
          <w:rFonts w:hint="eastAsia" w:ascii="仿宋_GB2312" w:hAnsi="仿宋_GB2312" w:eastAsia="仿宋_GB2312" w:cs="仿宋_GB2312"/>
          <w:color w:val="000000"/>
          <w:sz w:val="32"/>
          <w:szCs w:val="32"/>
        </w:rPr>
        <w:t>课表中各课程的学时与环节的分配，必须与培养方案、教学大纲以及教学执行计划规定相符，不得随意调整课程的学期安排和增减学时数。</w:t>
      </w:r>
    </w:p>
    <w:p>
      <w:pPr>
        <w:spacing w:line="600" w:lineRule="exact"/>
        <w:ind w:firstLine="643" w:firstLineChars="200"/>
        <w:rPr>
          <w:rFonts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（二）科学性原则。</w:t>
      </w:r>
      <w:r>
        <w:rPr>
          <w:rFonts w:hint="eastAsia" w:ascii="仿宋_GB2312" w:hAnsi="仿宋_GB2312" w:eastAsia="仿宋_GB2312" w:cs="仿宋_GB2312"/>
          <w:color w:val="000000"/>
          <w:sz w:val="32"/>
          <w:szCs w:val="32"/>
        </w:rPr>
        <w:t>课表编排要遵循教育教学规律和学生认知发展规律，充分考虑学生的身心健康和接受能力。应根据各门课程的性质和特征安排课程的授课时间和顺序，不同性质的课程应交叉排课，以利于提高学习效率。</w:t>
      </w:r>
    </w:p>
    <w:p>
      <w:pPr>
        <w:spacing w:line="600" w:lineRule="exact"/>
        <w:ind w:firstLine="643" w:firstLineChars="200"/>
        <w:rPr>
          <w:rFonts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（三）合理性原则。</w:t>
      </w:r>
      <w:r>
        <w:rPr>
          <w:rFonts w:hint="eastAsia" w:ascii="仿宋_GB2312" w:hAnsi="仿宋_GB2312" w:eastAsia="仿宋_GB2312" w:cs="仿宋_GB2312"/>
          <w:color w:val="000000"/>
          <w:sz w:val="32"/>
          <w:szCs w:val="32"/>
        </w:rPr>
        <w:t>课表编排要考虑有利于提高教学质量、有利于教师教学、有利于学生学习，同时考虑任课教师的具体情况及对排课的合理要求，力求达到最优状态。</w:t>
      </w:r>
    </w:p>
    <w:p>
      <w:pPr>
        <w:spacing w:line="600" w:lineRule="exact"/>
        <w:ind w:firstLine="643" w:firstLineChars="200"/>
        <w:rPr>
          <w:rFonts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（四）高效性原则。</w:t>
      </w:r>
      <w:r>
        <w:rPr>
          <w:rFonts w:hint="eastAsia" w:ascii="仿宋_GB2312" w:hAnsi="仿宋_GB2312" w:eastAsia="仿宋_GB2312" w:cs="仿宋_GB2312"/>
          <w:color w:val="000000"/>
          <w:sz w:val="32"/>
          <w:szCs w:val="32"/>
        </w:rPr>
        <w:t>掌握课程、教师对各类教学场地的特殊使用要求，充分、合理利用教学时间、教室、教学设备以及师资等各项教学资源，避免教学活动中不同类型的教学任务以及任课教师、教学场地间的冲突，保证教学秩序稳定。</w:t>
      </w:r>
    </w:p>
    <w:p>
      <w:pPr>
        <w:spacing w:line="600" w:lineRule="exact"/>
        <w:ind w:firstLine="640" w:firstLineChars="200"/>
        <w:rPr>
          <w:rFonts w:ascii="仿宋" w:hAnsi="仿宋" w:eastAsia="仿宋"/>
          <w:color w:val="000000"/>
          <w:sz w:val="32"/>
          <w:szCs w:val="32"/>
        </w:rPr>
      </w:pPr>
      <w:r>
        <w:rPr>
          <w:rFonts w:hint="eastAsia" w:ascii="黑体" w:hAnsi="黑体" w:eastAsia="黑体"/>
          <w:color w:val="000000"/>
          <w:sz w:val="32"/>
          <w:szCs w:val="32"/>
        </w:rPr>
        <w:t>二、课表编排要求</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每学期课表的上课周次根据培养方案、校历制定。除每届新生课程和通识教育选修课程外，所有课程教学安排原则上须从第一周开始，课程结束后的一周为机动周，用于补上因法定假日或学校集体性活动安排所占的教学时间。机动周之后为考试周，原则上不安排其他教学活动。</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（二）每天课表编排为上午</w:t>
      </w:r>
      <w:r>
        <w:rPr>
          <w:rFonts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学时，下午</w:t>
      </w:r>
      <w:r>
        <w:rPr>
          <w:rFonts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学时，晚上一般不得超过</w:t>
      </w:r>
      <w:r>
        <w:rPr>
          <w:rFonts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学时。以白天上午为主，下午次之。</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（三）合班上课人数须根据教学需要而定，一般不得多于两个自然班级，特殊情况须经教务处批准。</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（四）先确定集中实践教学环节进行的时间后再合理安排理论课程的教学时间。</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先编排合班上课课程及有特殊要求的课程，再编排单班上课课程；先编排大学体育课、集中实践课、思想政治课，再编排专业课程与专业方向课程，最后编排公共基础必修课、通识教育必修课、通识教育选修课、辅修课、重修课。</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（六）每天上午</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节尽量安排课堂教学，体育课程一般不排在上午第</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节或下午</w:t>
      </w:r>
      <w:r>
        <w:rPr>
          <w:rFonts w:ascii="仿宋_GB2312" w:hAnsi="仿宋_GB2312" w:eastAsia="仿宋_GB2312" w:cs="仿宋_GB2312"/>
          <w:color w:val="000000"/>
          <w:sz w:val="32"/>
          <w:szCs w:val="32"/>
        </w:rPr>
        <w:t>5</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6</w:t>
      </w:r>
      <w:r>
        <w:rPr>
          <w:rFonts w:hint="eastAsia" w:ascii="仿宋_GB2312" w:hAnsi="仿宋_GB2312" w:eastAsia="仿宋_GB2312" w:cs="仿宋_GB2312"/>
          <w:color w:val="000000"/>
          <w:sz w:val="32"/>
          <w:szCs w:val="32"/>
        </w:rPr>
        <w:t>节。如确要安排的，体育课后尽量不再安排其他室内教学课程。</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（七）每周三下午为教研活动和学术交流时间，原则上不安排课程教学。</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（八）同一个班级的同一门课程不得四节连排（实践、实训课程除外），同一个班级同一门课程一周</w:t>
      </w:r>
      <w:r>
        <w:rPr>
          <w:rFonts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次或</w:t>
      </w:r>
      <w:r>
        <w:rPr>
          <w:rFonts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次授课时间间隔要相对均匀合理，以保证教学效果和质量。</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（九）同一个任课教师上多个班同头课，要尽量均有安排，一天排课节次原则上不得超过</w:t>
      </w:r>
      <w:r>
        <w:rPr>
          <w:rFonts w:ascii="仿宋_GB2312" w:hAnsi="仿宋_GB2312" w:eastAsia="仿宋_GB2312" w:cs="仿宋_GB2312"/>
          <w:color w:val="000000"/>
          <w:sz w:val="32"/>
          <w:szCs w:val="32"/>
        </w:rPr>
        <w:t>6</w:t>
      </w:r>
      <w:r>
        <w:rPr>
          <w:rFonts w:hint="eastAsia" w:ascii="仿宋_GB2312" w:hAnsi="仿宋_GB2312" w:eastAsia="仿宋_GB2312" w:cs="仿宋_GB2312"/>
          <w:color w:val="000000"/>
          <w:sz w:val="32"/>
          <w:szCs w:val="32"/>
        </w:rPr>
        <w:t>节。</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（十）上午应考虑安排理论性较强的基础课和专业核心课，通识选修课（周四下午也属于通选课时间）原则上安排在晚上授课，辅修、重修课程原则上安排在周六或周日。</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（十一）对于专业教学有特殊要求的教学单位，需在课表编排前两周与教务处沟通。</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（十二）课表编排完毕后，由各教学单位教科办对所编排课表校阅，对于错排、漏排等情况，必须在学生选课前到教务处进行核实更改。</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（十三）课表编排完成后，如发现有明显不符合教育教学规律和学生认知规律，教务处有权进行最后修改。</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（十四）各教学单位将正式课表于开课前</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周发至任课教师本人和学生所在的班级并予以确认。</w:t>
      </w:r>
    </w:p>
    <w:p>
      <w:pPr>
        <w:spacing w:line="60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三、课表编排程序</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教务处教学管理科根据人才培养方案在教学管理系统内打印学期教学任务拟安排表下发给各教学单位，由各教学单位核对课程名称、课程代码、课程类别、课程性质、开设学期、学时、学分等信息，确保与人才培养方案相符。经确认无误后，由开课单位分管教学的领导盖章签字后反回给教务处教学管理科。</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（二）教务处教学管理科下发正式的学期教学任务表给各教学单位，由各教学单位落实相关教学任务（包括初步分班合班情况及任课教师），并经课程承担单位签字盖章后交教务处审核。</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（三）教务处审核后由课程承担单位录入实践教学周次，在实践教学周内不再编排理论课程。</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（四）课程承担单位录入教学任务，包括任课教师、上课起止周数、功能区、上课班级、上课班组及上课群组等信息。</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系统内已下达的教学任务经教务处审核后，由课程承担单位与教务处教务管理科在系统内编排课表，顺序为大学体育课→集中实践课→思想政治课→三个合班以上的专业选修课→其他合班专业课→单班专业课→公共基础必修课和通识教育必修课→通识教育选修课→辅修课、重修课。</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课程承担单位与教务处教学管理科在系统内编排专业课程课表：集中实践课与专业必修课、专业选修课、学科（专业）基础课由二级学院排课，思想政治课、公共基础必修课、通识教育必修课、辅修专业所有的课、重修所有的课都由教务处教务管理科统一排课。</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（七）教务处协助各教学单位教科办核查教师授课时间、授课教室、班级上课时间是否冲突，如有冲突，及时修改。</w:t>
      </w:r>
    </w:p>
    <w:p>
      <w:pPr>
        <w:spacing w:line="60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四、课表调整与运行</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（一）课表一经排定，课程尚未运行一个单元周，原则上不予调停课（不包括因教师授课时间、地点、班级冲突而调整的课表）。</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（二）课表应保持相对稳定，如有特殊原因需要调整的，必须按照《湖南财政经济学院调停课管理办法》要求办理。</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（三）课表调整后，由教学单位教科办或相关人员及时将调（停）课、补课具体安排通知有关学生。</w:t>
      </w:r>
    </w:p>
    <w:p>
      <w:pPr>
        <w:spacing w:line="600" w:lineRule="exact"/>
        <w:ind w:firstLine="640" w:firstLineChars="200"/>
        <w:rPr>
          <w:rFonts w:ascii="黑体" w:hAnsi="黑体" w:eastAsia="黑体" w:cs="黑体"/>
          <w:sz w:val="32"/>
          <w:szCs w:val="32"/>
        </w:rPr>
      </w:pPr>
      <w:r>
        <w:rPr>
          <w:rFonts w:hint="eastAsia" w:ascii="黑体" w:hAnsi="黑体" w:eastAsia="黑体" w:cs="黑体"/>
          <w:color w:val="000000"/>
          <w:sz w:val="32"/>
          <w:szCs w:val="32"/>
        </w:rPr>
        <w:t>五、本规定自下发之日起施行，由教务处负责解释。</w:t>
      </w:r>
    </w:p>
    <w:p>
      <w:r>
        <w:rPr>
          <w:rFonts w:hint="eastAsia" w:ascii="仿宋_GB2312" w:eastAsia="仿宋_GB2312"/>
          <w:sz w:val="32"/>
          <w:szCs w:val="32"/>
        </w:rPr>
        <w:drawing>
          <wp:anchor distT="0" distB="0" distL="114300" distR="114300" simplePos="0" relativeHeight="251659264" behindDoc="0" locked="0" layoutInCell="1" allowOverlap="1">
            <wp:simplePos x="0" y="0"/>
            <wp:positionH relativeFrom="column">
              <wp:posOffset>3241675</wp:posOffset>
            </wp:positionH>
            <wp:positionV relativeFrom="paragraph">
              <wp:posOffset>15240</wp:posOffset>
            </wp:positionV>
            <wp:extent cx="1571625" cy="1571625"/>
            <wp:effectExtent l="0" t="0" r="9525" b="9525"/>
            <wp:wrapNone/>
            <wp:docPr id="4" name="图片 5" descr="07731A95B69F4B73824C424CE87D970D@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07731A95B69F4B73824C424CE87D970D@03"/>
                    <pic:cNvPicPr>
                      <a:picLocks noChangeAspect="1"/>
                    </pic:cNvPicPr>
                  </pic:nvPicPr>
                  <pic:blipFill>
                    <a:blip r:embed="rId4">
                      <a:clrChange>
                        <a:clrFrom>
                          <a:srgbClr val="FFFFFF"/>
                        </a:clrFrom>
                        <a:clrTo>
                          <a:srgbClr val="FFFFFF">
                            <a:alpha val="0"/>
                          </a:srgbClr>
                        </a:clrTo>
                      </a:clrChange>
                    </a:blip>
                    <a:stretch>
                      <a:fillRect/>
                    </a:stretch>
                  </pic:blipFill>
                  <pic:spPr>
                    <a:xfrm>
                      <a:off x="0" y="0"/>
                      <a:ext cx="1571625" cy="1571625"/>
                    </a:xfrm>
                    <a:prstGeom prst="rect">
                      <a:avLst/>
                    </a:prstGeom>
                    <a:noFill/>
                    <a:ln>
                      <a:noFill/>
                    </a:ln>
                  </pic:spPr>
                </pic:pic>
              </a:graphicData>
            </a:graphic>
          </wp:anchor>
        </w:drawing>
      </w:r>
    </w:p>
    <w:p/>
    <w:p>
      <w:pPr>
        <w:ind w:firstLine="4800" w:firstLineChars="1500"/>
        <w:rPr>
          <w:rFonts w:hint="eastAsia"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1</w:t>
      </w:r>
      <w:r>
        <w:rPr>
          <w:rFonts w:hint="eastAsia" w:ascii="仿宋_GB2312" w:eastAsia="仿宋_GB2312"/>
          <w:sz w:val="32"/>
          <w:szCs w:val="32"/>
        </w:rPr>
        <w:t>年</w:t>
      </w:r>
      <w:r>
        <w:rPr>
          <w:rFonts w:hint="eastAsia" w:ascii="仿宋_GB2312" w:eastAsia="仿宋_GB2312"/>
          <w:sz w:val="32"/>
          <w:szCs w:val="32"/>
          <w:lang w:val="en-US" w:eastAsia="zh-CN"/>
        </w:rPr>
        <w:t>5</w:t>
      </w:r>
      <w:r>
        <w:rPr>
          <w:rFonts w:hint="eastAsia" w:ascii="仿宋_GB2312" w:eastAsia="仿宋_GB2312"/>
          <w:sz w:val="32"/>
          <w:szCs w:val="32"/>
        </w:rPr>
        <w:t>月1</w:t>
      </w:r>
      <w:r>
        <w:rPr>
          <w:rFonts w:hint="eastAsia" w:ascii="仿宋_GB2312" w:eastAsia="仿宋_GB2312"/>
          <w:sz w:val="32"/>
          <w:szCs w:val="32"/>
          <w:lang w:val="en-US" w:eastAsia="zh-CN"/>
        </w:rPr>
        <w:t>6</w:t>
      </w:r>
      <w:bookmarkStart w:id="3" w:name="_GoBack"/>
      <w:bookmarkEnd w:id="3"/>
      <w:r>
        <w:rPr>
          <w:rFonts w:hint="eastAsia" w:ascii="仿宋_GB2312" w:eastAsia="仿宋_GB2312"/>
          <w:sz w:val="32"/>
          <w:szCs w:val="32"/>
        </w:rPr>
        <w:t>日</w:t>
      </w:r>
    </w:p>
    <w:p>
      <w:pPr>
        <w:rPr>
          <w:rFonts w:hint="eastAsia" w:ascii="黑体" w:eastAsia="黑体" w:cs="黑体"/>
          <w:color w:val="000000"/>
          <w:sz w:val="32"/>
          <w:szCs w:val="32"/>
          <w:u w:val="single"/>
        </w:rPr>
      </w:pPr>
    </w:p>
    <w:p>
      <w:pPr>
        <w:rPr>
          <w:rFonts w:hint="eastAsia" w:ascii="黑体" w:eastAsia="黑体" w:cs="黑体"/>
          <w:color w:val="000000"/>
          <w:sz w:val="32"/>
          <w:szCs w:val="32"/>
          <w:u w:val="single"/>
        </w:rPr>
      </w:pPr>
    </w:p>
    <w:p>
      <w:pPr>
        <w:rPr>
          <w:rFonts w:hint="eastAsia" w:ascii="仿宋_GB2312" w:eastAsia="仿宋_GB2312"/>
          <w:sz w:val="32"/>
          <w:szCs w:val="32"/>
        </w:rPr>
      </w:pPr>
      <w:r>
        <w:rPr>
          <w:rFonts w:ascii="黑体" w:eastAsia="黑体" w:cs="黑体"/>
          <w:color w:val="000000"/>
          <w:sz w:val="32"/>
          <w:szCs w:val="32"/>
          <w:u w:val="single"/>
        </w:rPr>
        <w:t xml:space="preserve">                                                           </w:t>
      </w:r>
      <w:r>
        <w:rPr>
          <w:rFonts w:hint="eastAsia" w:ascii="仿宋_GB2312" w:eastAsia="仿宋_GB2312" w:cs="仿宋_GB2312"/>
          <w:color w:val="000000"/>
          <w:sz w:val="32"/>
          <w:szCs w:val="32"/>
          <w:u w:val="single"/>
        </w:rPr>
        <w:t>湖南财政经济学院办公室</w:t>
      </w:r>
      <w:r>
        <w:rPr>
          <w:rFonts w:ascii="仿宋_GB2312" w:eastAsia="仿宋_GB2312" w:cs="仿宋_GB2312"/>
          <w:color w:val="000000"/>
          <w:sz w:val="32"/>
          <w:szCs w:val="32"/>
          <w:u w:val="single"/>
        </w:rPr>
        <w:t xml:space="preserve">       </w:t>
      </w:r>
      <w:r>
        <w:rPr>
          <w:rFonts w:hint="eastAsia" w:ascii="仿宋_GB2312" w:eastAsia="仿宋_GB2312" w:cs="仿宋_GB2312"/>
          <w:color w:val="000000"/>
          <w:sz w:val="32"/>
          <w:szCs w:val="32"/>
          <w:u w:val="single"/>
        </w:rPr>
        <w:t xml:space="preserve"> </w:t>
      </w:r>
      <w:r>
        <w:rPr>
          <w:rFonts w:ascii="仿宋_GB2312" w:eastAsia="仿宋_GB2312" w:cs="仿宋_GB2312"/>
          <w:color w:val="000000"/>
          <w:sz w:val="32"/>
          <w:szCs w:val="32"/>
          <w:u w:val="single"/>
        </w:rPr>
        <w:t xml:space="preserve"> 20</w:t>
      </w:r>
      <w:r>
        <w:rPr>
          <w:rFonts w:hint="eastAsia" w:ascii="仿宋_GB2312" w:eastAsia="仿宋_GB2312" w:cs="仿宋_GB2312"/>
          <w:color w:val="000000"/>
          <w:sz w:val="32"/>
          <w:szCs w:val="32"/>
          <w:u w:val="single"/>
        </w:rPr>
        <w:t>2</w:t>
      </w:r>
      <w:r>
        <w:rPr>
          <w:rFonts w:hint="eastAsia" w:ascii="仿宋_GB2312" w:eastAsia="仿宋_GB2312" w:cs="仿宋_GB2312"/>
          <w:color w:val="000000"/>
          <w:sz w:val="32"/>
          <w:szCs w:val="32"/>
          <w:u w:val="single"/>
          <w:lang w:val="en-US" w:eastAsia="zh-CN"/>
        </w:rPr>
        <w:t>1</w:t>
      </w:r>
      <w:r>
        <w:rPr>
          <w:rFonts w:hint="eastAsia" w:ascii="仿宋_GB2312" w:eastAsia="仿宋_GB2312" w:cs="仿宋_GB2312"/>
          <w:color w:val="000000"/>
          <w:sz w:val="32"/>
          <w:szCs w:val="32"/>
          <w:u w:val="single"/>
        </w:rPr>
        <w:t>年</w:t>
      </w:r>
      <w:r>
        <w:rPr>
          <w:rFonts w:hint="eastAsia" w:ascii="仿宋_GB2312" w:eastAsia="仿宋_GB2312" w:cs="仿宋_GB2312"/>
          <w:color w:val="000000"/>
          <w:sz w:val="32"/>
          <w:szCs w:val="32"/>
          <w:u w:val="single"/>
          <w:lang w:val="en-US" w:eastAsia="zh-CN"/>
        </w:rPr>
        <w:t>5</w:t>
      </w:r>
      <w:r>
        <w:rPr>
          <w:rFonts w:hint="eastAsia" w:ascii="仿宋_GB2312" w:eastAsia="仿宋_GB2312" w:cs="仿宋_GB2312"/>
          <w:color w:val="000000"/>
          <w:sz w:val="32"/>
          <w:szCs w:val="32"/>
          <w:u w:val="single"/>
        </w:rPr>
        <w:t>月16日印发</w:t>
      </w:r>
      <w:r>
        <w:rPr>
          <w:rFonts w:ascii="仿宋_GB2312" w:eastAsia="仿宋_GB2312" w:cs="仿宋_GB2312"/>
          <w:color w:val="000000"/>
          <w:sz w:val="32"/>
          <w:szCs w:val="32"/>
          <w:u w:val="single"/>
        </w:rPr>
        <w:t xml:space="preserve">   </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9C0F77"/>
    <w:rsid w:val="3D9B2CAC"/>
    <w:rsid w:val="4FE13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2021-05-11T09:18:28Z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